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5"/>
        <w:ind w:left="0" w:firstLine="708"/>
        <w:jc w:val="both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    </w:t>
      </w:r>
      <w:r>
        <w:rPr>
          <w:sz w:val="18"/>
          <w:szCs w:val="18"/>
        </w:rPr>
      </w:r>
      <w:r/>
    </w:p>
    <w:p>
      <w:pPr>
        <w:pStyle w:val="925"/>
        <w:ind w:left="0" w:firstLine="708"/>
        <w:jc w:val="center"/>
        <w:spacing w:after="0" w:line="240" w:lineRule="auto"/>
      </w:pPr>
      <w:r>
        <w:rPr>
          <w:sz w:val="18"/>
          <w:szCs w:val="18"/>
        </w:rPr>
        <w:t xml:space="preserve">                                                  </w:t>
      </w:r>
      <w:r>
        <w:rPr>
          <w:sz w:val="18"/>
          <w:szCs w:val="18"/>
        </w:rPr>
        <w:t xml:space="preserve">  </w:t>
      </w:r>
      <w:r>
        <w:t xml:space="preserve">ПОЯСНИТЕЛЬНАЯ ЗАПИСКА</w:t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в апреле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года.</w:t>
      </w:r>
      <w:r>
        <w:rPr>
          <w:sz w:val="28"/>
          <w:szCs w:val="28"/>
        </w:rPr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2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 года №</w:t>
      </w:r>
      <w:r>
        <w:rPr>
          <w:sz w:val="28"/>
          <w:szCs w:val="28"/>
        </w:rPr>
        <w:t xml:space="preserve"> 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доходной, </w:t>
      </w:r>
      <w:r>
        <w:rPr>
          <w:sz w:val="28"/>
          <w:szCs w:val="28"/>
        </w:rPr>
        <w:t xml:space="preserve">расходной части и источников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Внесение изменений </w:t>
      </w:r>
      <w:r>
        <w:rPr>
          <w:sz w:val="28"/>
          <w:szCs w:val="28"/>
        </w:rPr>
        <w:t xml:space="preserve">в доходную часть бюджета связан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ых</w:t>
      </w:r>
      <w:r>
        <w:rPr>
          <w:sz w:val="28"/>
          <w:szCs w:val="28"/>
        </w:rPr>
        <w:t xml:space="preserve"> с увеличением план</w:t>
      </w:r>
      <w:r>
        <w:rPr>
          <w:sz w:val="28"/>
          <w:szCs w:val="28"/>
        </w:rPr>
        <w:t xml:space="preserve">овых назначений по безвозмездным поступлениям в соответствии с решением вышестоящего уровня государственной власти в части безвозмездных поступлений в бюджет Колыванского района НСО, в том числе:  </w:t>
      </w:r>
      <w:r/>
    </w:p>
    <w:p>
      <w:pPr>
        <w:pStyle w:val="924"/>
        <w:numPr>
          <w:ilvl w:val="0"/>
          <w:numId w:val="51"/>
        </w:numPr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субсидия из областного бюджета на сумму 8020,4 тысячи рублей , их них  на финансирование расходов по ГП НСО «Энергосбережение и повышение энергоэффективности Новосибирской области» на сумму 3846,80 тысяч рублей;</w:t>
      </w:r>
      <w:r>
        <w:rPr>
          <w:sz w:val="28"/>
          <w:szCs w:val="28"/>
          <w:highlight w:val="none"/>
        </w:rPr>
      </w:r>
      <w:r/>
    </w:p>
    <w:p>
      <w:pPr>
        <w:pStyle w:val="924"/>
        <w:numPr>
          <w:ilvl w:val="0"/>
          <w:numId w:val="51"/>
        </w:numPr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субсидия из областного бюджета на государственную поддержку отрасли «культура» на сумму 208,3 тысяч рублей;</w:t>
      </w:r>
      <w:r>
        <w:rPr>
          <w:sz w:val="28"/>
          <w:szCs w:val="28"/>
          <w:highlight w:val="none"/>
        </w:rPr>
      </w:r>
      <w:r/>
    </w:p>
    <w:p>
      <w:pPr>
        <w:pStyle w:val="924"/>
        <w:numPr>
          <w:ilvl w:val="0"/>
          <w:numId w:val="51"/>
        </w:num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субсидия из областного бюджета на обеспечение сбалансированности бюджета по ГП НСО « Управление финансами  Новосибирской области» на сумму 1908,6 тысяч рублей;</w:t>
      </w:r>
      <w:r>
        <w:rPr>
          <w:sz w:val="28"/>
          <w:szCs w:val="28"/>
        </w:rPr>
      </w:r>
      <w:r/>
    </w:p>
    <w:p>
      <w:pPr>
        <w:pStyle w:val="924"/>
        <w:numPr>
          <w:ilvl w:val="0"/>
          <w:numId w:val="51"/>
        </w:numPr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субвенция из областного бюджета  на осуществление расходов по воинскому учету  на сумму 29,5 тысяч рублей. </w:t>
      </w:r>
      <w:r>
        <w:rPr>
          <w:sz w:val="28"/>
          <w:szCs w:val="28"/>
          <w:highlight w:val="none"/>
        </w:rPr>
      </w:r>
      <w:r/>
    </w:p>
    <w:p>
      <w:pPr>
        <w:pStyle w:val="924"/>
        <w:ind w:left="1418" w:firstLine="0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Изменений по плановым заданиям бюджета Колыванского района в части собственных налоговых и неналоговых поступлений не планируется. Оперативная информация по исполнению доходной части бюджета не предоставляется. </w:t>
      </w:r>
      <w:r>
        <w:rPr>
          <w:sz w:val="28"/>
          <w:szCs w:val="28"/>
          <w:highlight w:val="none"/>
        </w:rPr>
      </w:r>
      <w:r/>
    </w:p>
    <w:p>
      <w:pPr>
        <w:pStyle w:val="916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Внесение изменений  в расходную часть</w:t>
      </w:r>
      <w:r>
        <w:rPr>
          <w:sz w:val="28"/>
          <w:szCs w:val="28"/>
        </w:rPr>
        <w:t xml:space="preserve"> бюджета  связана с отражением бюджетных ассигнов</w:t>
      </w:r>
      <w:r>
        <w:rPr>
          <w:sz w:val="28"/>
          <w:szCs w:val="28"/>
        </w:rPr>
        <w:t xml:space="preserve">аний по разделам , подразделам  целевым статья и видам расходов</w:t>
      </w:r>
      <w:r>
        <w:rPr>
          <w:sz w:val="28"/>
          <w:szCs w:val="28"/>
        </w:rPr>
        <w:t xml:space="preserve">  средств, выд</w:t>
      </w:r>
      <w:r>
        <w:rPr>
          <w:sz w:val="28"/>
          <w:szCs w:val="28"/>
        </w:rPr>
        <w:t xml:space="preserve">еленных из  областного бюджета, а также выделенные дополнительные лимиты бюджетных обязательств за счет средств районного бюджета на сумму 3776,8, источником которых является увеличение дефицита бюджета для решения вопросов текущей деятельности,  а именно: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-Образование на сумму 3257,8 тысяч рублей ( на организацию  летнего отдыха детей, организация текущего ремонта и приобретение хозяйственных средств в  образовательных организациях, МП « Патриотическое воспитание»).</w:t>
      </w:r>
      <w:r>
        <w:rPr>
          <w:sz w:val="28"/>
          <w:szCs w:val="28"/>
        </w:rPr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Спорт на сумму 150,0 тысяч рублей ( спортивные мероприятия).</w:t>
      </w:r>
      <w:r>
        <w:rPr>
          <w:sz w:val="28"/>
          <w:szCs w:val="28"/>
        </w:rPr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Культура на сумму 4,0</w:t>
      </w:r>
      <w:r>
        <w:rPr>
          <w:sz w:val="28"/>
          <w:szCs w:val="28"/>
          <w:highlight w:val="none"/>
        </w:rPr>
        <w:t xml:space="preserve"> тысяч рублей ( софинансирование государственной поддержки отрасли культура).</w:t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Управление на сумму 365,0 тысяч рублей ( хозяйственные расходы, проектная документация)</w:t>
      </w:r>
      <w: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Также согласно  заявкам и ходатайствам руководителей структурных подразделений и муниципальных учреждений</w:t>
      </w:r>
      <w:r>
        <w:rPr>
          <w:sz w:val="28"/>
          <w:szCs w:val="28"/>
        </w:rPr>
        <w:t xml:space="preserve"> учтены внутренние перераспределения средств путем уточнения кодов бюджетной классификации.</w:t>
      </w:r>
      <w:r>
        <w:rPr>
          <w:sz w:val="28"/>
          <w:szCs w:val="28"/>
          <w:highlight w:val="none"/>
        </w:rPr>
      </w:r>
      <w:r/>
    </w:p>
    <w:p>
      <w:pPr>
        <w:pStyle w:val="916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Общая сумма</w:t>
      </w:r>
      <w:r>
        <w:rPr>
          <w:sz w:val="28"/>
          <w:szCs w:val="28"/>
        </w:rPr>
        <w:t xml:space="preserve"> доходов бюджета Колыванского района 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 xml:space="preserve">1 999 865,4  тысяч рублей ,  в плановом периоде с учетом технических </w:t>
      </w:r>
      <w:r>
        <w:rPr>
          <w:sz w:val="24"/>
          <w:szCs w:val="24"/>
        </w:rPr>
        <w:t xml:space="preserve">корректировок на 2025 год</w:t>
      </w:r>
      <w:r>
        <w:rPr>
          <w:sz w:val="28"/>
          <w:szCs w:val="28"/>
        </w:rPr>
        <w:t xml:space="preserve"> 1 4 97 996,6 </w:t>
      </w:r>
      <w:r>
        <w:rPr>
          <w:sz w:val="24"/>
          <w:szCs w:val="24"/>
        </w:rPr>
        <w:t xml:space="preserve"> тысяч рублей .</w:t>
      </w:r>
      <w:r/>
    </w:p>
    <w:p>
      <w:pPr>
        <w:pStyle w:val="91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Общая сумма </w:t>
      </w:r>
      <w:r>
        <w:rPr>
          <w:sz w:val="28"/>
          <w:szCs w:val="28"/>
        </w:rPr>
        <w:t xml:space="preserve"> расходов бюджета Колыванского райо</w:t>
      </w:r>
      <w:r>
        <w:rPr>
          <w:sz w:val="28"/>
          <w:szCs w:val="28"/>
        </w:rPr>
        <w:t xml:space="preserve">на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авит </w:t>
      </w:r>
      <w:r>
        <w:rPr>
          <w:sz w:val="28"/>
          <w:szCs w:val="28"/>
        </w:rPr>
        <w:t xml:space="preserve"> 2 037 327,6  тысяч рублей</w:t>
      </w:r>
      <w:r>
        <w:rPr>
          <w:bCs/>
          <w:sz w:val="28"/>
          <w:szCs w:val="28"/>
        </w:rPr>
        <w:t xml:space="preserve">,  в плановом периоде с учетом технических корректировок на 2025 год </w:t>
      </w:r>
      <w:r>
        <w:rPr>
          <w:sz w:val="28"/>
          <w:szCs w:val="28"/>
        </w:rPr>
        <w:t xml:space="preserve">1 497 996, 6  </w:t>
      </w:r>
      <w:r>
        <w:rPr>
          <w:bCs/>
          <w:sz w:val="28"/>
          <w:szCs w:val="28"/>
        </w:rPr>
        <w:t xml:space="preserve"> тысяч рублей .</w:t>
      </w:r>
      <w:r/>
    </w:p>
    <w:p>
      <w:pPr>
        <w:pStyle w:val="91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Дефицит бюджета Колыванского района  с учетом всех изменений</w:t>
      </w:r>
      <w:r>
        <w:rPr>
          <w:bCs/>
          <w:sz w:val="28"/>
          <w:szCs w:val="28"/>
        </w:rPr>
        <w:t xml:space="preserve"> на 2024 год </w:t>
      </w:r>
      <w:r>
        <w:rPr>
          <w:bCs/>
          <w:sz w:val="28"/>
          <w:szCs w:val="28"/>
        </w:rPr>
        <w:t xml:space="preserve"> будет находится в пределах </w:t>
      </w:r>
      <w:r>
        <w:rPr>
          <w:bCs/>
          <w:sz w:val="28"/>
          <w:szCs w:val="28"/>
        </w:rPr>
        <w:t xml:space="preserve">37 462,2  тысяч рублей</w:t>
      </w:r>
      <w:r>
        <w:rPr>
          <w:bCs/>
          <w:sz w:val="28"/>
          <w:szCs w:val="28"/>
        </w:rPr>
        <w:t xml:space="preserve">,</w:t>
      </w:r>
      <w:r>
        <w:rPr>
          <w:bCs/>
          <w:sz w:val="28"/>
          <w:szCs w:val="28"/>
        </w:rPr>
        <w:t xml:space="preserve"> на  2025 -2026 год дефицит отсутствует.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Задолженность по долговым обязательствам муниципального образования Колыванского района Новосибирской  области   отсутствует.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pStyle w:val="9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Все изменения</w:t>
      </w:r>
      <w:r>
        <w:rPr>
          <w:sz w:val="28"/>
          <w:szCs w:val="28"/>
        </w:rPr>
        <w:t xml:space="preserve"> по доходам и  расходам,</w:t>
      </w:r>
      <w:r>
        <w:rPr>
          <w:sz w:val="28"/>
          <w:szCs w:val="28"/>
        </w:rPr>
        <w:t xml:space="preserve"> внесенные в настоящий проект решения  представлены  в нижеприведенных таблицах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left"/>
        <w:tabs>
          <w:tab w:val="clear" w:pos="4536" w:leader="none"/>
          <w:tab w:val="clear" w:pos="9072" w:leader="none"/>
          <w:tab w:val="left" w:pos="1310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tab/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Изменения в доходную часть бюджета Колыванского района Новосибирской области </w:t>
      </w:r>
      <w:r>
        <w:rPr>
          <w:sz w:val="28"/>
          <w:szCs w:val="28"/>
          <w:highlight w:val="none"/>
        </w:rPr>
      </w:r>
      <w:r/>
    </w:p>
    <w:tbl>
      <w:tblPr>
        <w:tblStyle w:val="772"/>
        <w:tblW w:w="0" w:type="auto"/>
        <w:tblLayout w:type="fixed"/>
        <w:tblLook w:val="04A0" w:firstRow="1" w:lastRow="0" w:firstColumn="1" w:lastColumn="0" w:noHBand="0" w:noVBand="1"/>
      </w:tblPr>
      <w:tblGrid>
        <w:gridCol w:w="2070"/>
        <w:gridCol w:w="4365"/>
        <w:gridCol w:w="2218"/>
        <w:gridCol w:w="2409"/>
        <w:gridCol w:w="3543"/>
      </w:tblGrid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вида дохода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групп, подгрупп,  статей доходов, подстатей, элементов, кодов подвидов  доходов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Налоговые доходы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320 762,50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280 743,90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297 184,70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00010100000000000000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на прибыль, доходы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248 517,50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203 519,80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215 557,00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00010102000000000110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доходы физических лиц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248 517,50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203 519,80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215 557,00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00010102010010000110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</w:t>
            </w:r>
            <w:r>
              <w:rPr>
                <w:sz w:val="24"/>
                <w:szCs w:val="24"/>
              </w:rPr>
              <w:t xml:space="preserve">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245 369,50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200 769,80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212 762,00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00010102020011000110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</w:t>
            </w:r>
            <w:r>
              <w:rPr>
                <w:sz w:val="24"/>
                <w:szCs w:val="24"/>
              </w:rPr>
              <w:t xml:space="preserve">, учредивших адвокатские кабинеты, и других лиц, занимающихся частной практикой в соответствии со ст. 227 Налогового кодекса Российской Федерации (сумма платежа (перерасчеты, недоимки и задолженности по соответствующему платежу, в том числе по отмененному)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737,00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649,00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689,00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00010102020013000110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</w:t>
            </w:r>
            <w:r>
              <w:rPr>
                <w:sz w:val="24"/>
                <w:szCs w:val="24"/>
              </w:rPr>
              <w:t xml:space="preserve"> учредивших адвокатские кабинеты, и других лиц, занимающихся частной практикой в соответствии со ст.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00010102030011000110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2 300,00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2 000,00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00010102030013000110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9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00010102040011000110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  являющимися иностранными гражд</w:t>
            </w:r>
            <w:r>
              <w:rPr>
                <w:sz w:val="24"/>
                <w:szCs w:val="24"/>
              </w:rPr>
              <w:t xml:space="preserve">анами осуществляющими трудовую деятельность по найму на основании патента в соответствии со статьёй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95,00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00010300000000000000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на товары (работы, услуги), реализуемые на территории Российской Федерации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6 367,40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7 474,00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7 532,30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00010302000010000110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Федерации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6 367,40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7 474,00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7 532,30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0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00010302231010000110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 субъектов Российск</w:t>
            </w:r>
            <w:r>
              <w:rPr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3 107,00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3 714,80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3 743,70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2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00010302241010000110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23,20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0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00010302251010000110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rPr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3 611,10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4 164,40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4 196,90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0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00010302261010000110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sz w:val="24"/>
                <w:szCs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-371,00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-428,40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-431,70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00010500000000000000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на совокупный доход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46 793,00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50 663,00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55 006,00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00010501000000000110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Налог, взимаемый в связи с применением упрощенной системы налогообложения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43 326,00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47 095,00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51 334,00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00010501011011000110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25 764,50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26 531,50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28 813,00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00010501011013000110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11,50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00010501021011000110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Налог, взимаемый с налогоплательщиков, выбравших в качестве объе</w:t>
            </w:r>
            <w:r>
              <w:rPr>
                <w:sz w:val="24"/>
                <w:szCs w:val="24"/>
              </w:rPr>
              <w:t xml:space="preserve">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17 551,60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20 552,90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22 509,50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00010503000000000110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Единый сельскохозяйственный налог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358,00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00010503010011000110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358,00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00010504000000000110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взимаемый с применением патентной системы налогообложения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3 130,00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3 221,00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3 314,00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00010504020021000110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взимаемый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3 130,00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3 221,00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3 314,00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00010600000000000000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на имущество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13 711,40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13 711,40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13 711,40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00010604000020000110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Транспортный налог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13 711,40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13 711,40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13 711,40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00010604011020000110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Транспортный налог с организаций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2 087,10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2 087,10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2 087,10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00010604012020000110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Транспортный налог с физических лиц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11 624,30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11 624,30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11 624,30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00010800000000000000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пошлина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5 373,20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5 375,70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5 378,00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00010803010010000110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5 373,20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5 375,70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5 378,00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48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Неналоговые доходы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9 641,20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9 446,60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9 486,00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00011100000000000000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5 406,50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5 406,50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5 364,40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00011105013050000120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Доходы, получаемые в виде арендной платы за земельные уча</w:t>
            </w:r>
            <w:r>
              <w:rPr>
                <w:sz w:val="24"/>
                <w:szCs w:val="24"/>
              </w:rPr>
              <w:t xml:space="preserve">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4 014,40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4 014,40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4 014,40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00011105013130000120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Доходы, полу</w:t>
            </w:r>
            <w:r>
              <w:rPr>
                <w:sz w:val="24"/>
                <w:szCs w:val="24"/>
              </w:rPr>
              <w:t xml:space="preserve">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, а также средства от продажи права на заключение договоров аренды указанных земельных участков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1 144,30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1 144,30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1 144,30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00011105025050000120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177,50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177,50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135,40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00011105035050000120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сдачи в аренду имущества находящегося в оперативном управлении органов управления муниципальных районов и созданных ими учреждений ( за исключением имущества муниципальных бюджетных и автономных учреждений)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00011200000000000000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Платежи при пользовании природными ресурсами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298,90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298,90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298,90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0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00011201010016000120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281,90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281,90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281,90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00011201041016000120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00011300000000000000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2 282,40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2 087,80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2 169,30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00011301995050012130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(МКУ Колыванский краеведческий музей»)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475,00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480,00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00011301995050014130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1 381,10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1 249,90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1 262,90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00011301995050015130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00011302065050000130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муниципальных районов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102,90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166,40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00011400000000000000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продажи материальных и нематериальных активов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00011402053050000410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реализации иного имущества, находящ</w:t>
            </w:r>
            <w:r>
              <w:rPr>
                <w:sz w:val="24"/>
                <w:szCs w:val="24"/>
              </w:rPr>
              <w:t xml:space="preserve">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1 453,40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1 453,40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1 453,40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00011601053010000140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</w:t>
            </w:r>
            <w:r>
              <w:rPr>
                <w:sz w:val="24"/>
                <w:szCs w:val="24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9,50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7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00011601063010000140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sz w:val="24"/>
                <w:szCs w:val="24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00011601073010000140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</w:t>
            </w:r>
            <w:r>
              <w:rPr>
                <w:sz w:val="24"/>
                <w:szCs w:val="24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00011601083010000140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</w:t>
            </w:r>
            <w:r>
              <w:rPr>
                <w:sz w:val="24"/>
                <w:szCs w:val="24"/>
              </w:rPr>
              <w:t xml:space="preserve">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8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00011601143010000140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14 Кодекса Российско</w:t>
            </w:r>
            <w:r>
              <w:rPr>
                <w:sz w:val="24"/>
                <w:szCs w:val="24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00011601203010000140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</w:t>
            </w:r>
            <w:r>
              <w:rPr>
                <w:sz w:val="24"/>
                <w:szCs w:val="24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723,90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723,90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723,90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00011607010050000140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76,00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76,00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76,00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00011607090050000140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5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00011610123010051140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</w:t>
            </w:r>
            <w:r>
              <w:rPr>
                <w:sz w:val="24"/>
                <w:szCs w:val="24"/>
              </w:rPr>
              <w:t xml:space="preserve">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8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00011611050010000140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Платежи по искам о возмещении вреда, причиненного окружающей среде, а также платежи, уплачиваемые при добр</w:t>
            </w:r>
            <w:r>
              <w:rPr>
                <w:sz w:val="24"/>
                <w:szCs w:val="24"/>
              </w:rPr>
              <w:t xml:space="preserve">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доходов налоговых и неналоговых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330 403,70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290 190,50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306 670,70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20000000000000000000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Безвозмездные поступления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1661411,80+8049,90=1 669 461,70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1183386,7+24419,4= 1 207 806,10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1 190 575,80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Дотация  бюджетам муниципальных районов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90 589,90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48 994,7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51 062,80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00020215001050000150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Дотации бюджетам муниципальных районов  на выравнивание бюджетной обеспеченности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90 589,90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48 994,70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51 062,80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8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00020220000000000150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739449,1+8020,4=   747 469,50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278340,7+24419,4=302 760,10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241 207,10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00020220077050000150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31 913,20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00020220077050000150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83 977,30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82 727,40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40 072,30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00020220077050000150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32 655,00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43 378,00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00020220077050000150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</w:t>
            </w:r>
            <w:r>
              <w:rPr>
                <w:sz w:val="24"/>
                <w:szCs w:val="24"/>
              </w:rPr>
              <w:t xml:space="preserve">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3 000,00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22 835,00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00020220077050000150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</w:t>
            </w:r>
            <w:r>
              <w:rPr>
                <w:sz w:val="24"/>
                <w:szCs w:val="24"/>
              </w:rPr>
              <w:t xml:space="preserve">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9481,20+3846,80=   13 328,00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0,00+24419,40=   24 419,40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14 827,20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00020220216050000150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у</w:t>
            </w:r>
            <w:r>
              <w:rPr>
                <w:sz w:val="24"/>
                <w:szCs w:val="24"/>
              </w:rPr>
              <w:t xml:space="preserve">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36 987,20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35 339,80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34 041,80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00020225098050000150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обновление материально-технической базы для организации учебно-исследовательской, научно-практиче</w:t>
            </w:r>
            <w:r>
              <w:rPr>
                <w:sz w:val="24"/>
                <w:szCs w:val="24"/>
              </w:rPr>
              <w:t xml:space="preserve">ской, творческой деятельности, занятий физической культурой и спортом в 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1 888,60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8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00020225172050000150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обновление материально-технической базы общеобразовательных организаций, в том числе ос</w:t>
            </w:r>
            <w:r>
              <w:rPr>
                <w:sz w:val="24"/>
                <w:szCs w:val="24"/>
              </w:rPr>
              <w:t xml:space="preserve">уществляющих образовательную деятельность по адаптированным основным общеобразовательным программам,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2 000,00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3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00020225304050000150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организацию бесплатного горячего питани</w:t>
            </w:r>
            <w:r>
              <w:rPr>
                <w:sz w:val="24"/>
                <w:szCs w:val="24"/>
              </w:rPr>
              <w:t xml:space="preserve">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16 965,90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17 644,20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18 351,70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00020225467050000150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1 108,70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1 102,80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1 116,20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7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00020225519050000150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государственную поддержку отрасли культуры государственной программы Новосибирской области "Культура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293,20+208,30=  501,50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293,50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301,10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4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00020225527050000150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407,40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407,40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407,40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00020225750050000150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56 108,80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7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ресурсному обеспечению модернизации образования Но</w:t>
            </w:r>
            <w:r>
              <w:rPr>
                <w:sz w:val="24"/>
                <w:szCs w:val="24"/>
              </w:rP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110900,00+1550,00=112 450,00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3 600,00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оздоровлению детей государственной программы Новосибирской области "Социальная поддержка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2 748,40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2 748,40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2 748,40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софинансирован</w:t>
            </w:r>
            <w:r>
              <w:rPr>
                <w:sz w:val="24"/>
                <w:szCs w:val="24"/>
              </w:rPr>
              <w:t xml:space="preserve">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области»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619,80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619,80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619,80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0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осуществлению малобюджетного строительства, реконструкции, благоустройства, ремонта спорт</w:t>
            </w:r>
            <w:r>
              <w:rPr>
                <w:sz w:val="24"/>
                <w:szCs w:val="24"/>
              </w:rPr>
              <w:t xml:space="preserve">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10 000,00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убсидия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"Стимулирование развития жилищного строительства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11 500,00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10 000,00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мероприятий, направленных на подготов</w:t>
            </w:r>
            <w:r>
              <w:rPr>
                <w:sz w:val="24"/>
                <w:szCs w:val="24"/>
              </w:rPr>
              <w:t xml:space="preserve">ку проектов межевания земельных участков и на проведение кадастровых работ, государственной программы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осуществление полномочий по организации регулярных</w:t>
            </w:r>
            <w:r>
              <w:rPr>
                <w:sz w:val="24"/>
                <w:szCs w:val="24"/>
              </w:rPr>
              <w:t xml:space="preserve">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4 253,40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4 253,40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4 253,40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</w:t>
            </w:r>
            <w:r>
              <w:rPr>
                <w:sz w:val="24"/>
                <w:szCs w:val="24"/>
              </w:rPr>
              <w:t xml:space="preserve">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30316,40+506,70=    30 823,10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30 316,40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30 316,40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8 688,50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8 688,50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8 688,50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содействию созданию новых мест в образова</w:t>
            </w:r>
            <w:r>
              <w:rPr>
                <w:sz w:val="24"/>
                <w:szCs w:val="24"/>
              </w:rPr>
              <w:t xml:space="preserve">тельных организациях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4 500,00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подготовку градостроительной документации и (или)</w:t>
            </w:r>
            <w:r>
              <w:rPr>
                <w:sz w:val="24"/>
                <w:szCs w:val="24"/>
              </w:rPr>
              <w:t xml:space="preserve">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1 916,50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13 648,70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ус</w:t>
            </w:r>
            <w:r>
              <w:rPr>
                <w:sz w:val="24"/>
                <w:szCs w:val="24"/>
              </w:rPr>
              <w:t xml:space="preserve">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319,10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319,10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319,10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2 640,00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5 013,30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00020229999050000150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345409,30+1908,60= 347 317,90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8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00020230000000000150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796242,2+29,5=  796271,70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823 505,90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866 191,60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реализацию основных общеобразовательных программ в муниципальных общеобразовательных организациях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280 934,10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304 407,10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327 515,00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социальную поддержку отдельных категорий детей, обучающихся в образовательных организациях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19 177,10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19 177,10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19 177,10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7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образование и организацию деятельности комиссий по делам несовершеннолетних и защите их прав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1 623,70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1 650,90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1 761,50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52 150,10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61 629,50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63 787,30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49 906,40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54 841,10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59 330,90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103,60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105,10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111,30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8,10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8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осуществление отдельных государственных полномочий Новосибирской области по расчету и предоставлению дотаций бюджетам поселений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67 949,20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42 729,20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45 612,80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по организации получения образовани</w:t>
            </w:r>
            <w:r>
              <w:rPr>
                <w:sz w:val="24"/>
                <w:szCs w:val="24"/>
              </w:rPr>
              <w:t xml:space="preserve">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111 425,80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116 128,60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124 047,60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113 363,50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126 396,40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138 449,10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393,80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400,30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427,10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00020230024050000150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организацию мероприятий при осуществлении деятельности по обращению с животными без владельцев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00020235082050000150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95 316,30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91 797,00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81 239,20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00020235118050000150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3328,5+29,5= 3358,0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3 673,00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4 023,20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00020235120050000150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151,40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7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00020240000000000150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35 130,60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32 545,40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32 114,30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00020240014050000150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204,70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204,70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204,70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00020245303050000150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ежемесячное денежное вознагражде</w:t>
            </w:r>
            <w:r>
              <w:rPr>
                <w:sz w:val="24"/>
                <w:szCs w:val="24"/>
              </w:rPr>
              <w:t xml:space="preserve">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21 385,30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21 385,30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21 479,10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0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обеспечение питанием на льготных условиях детей военнослужащих, обучающихся по программам основного общего образ</w:t>
            </w:r>
            <w:r>
              <w:rPr>
                <w:sz w:val="24"/>
                <w:szCs w:val="24"/>
              </w:rPr>
              <w:t xml:space="preserve">ования и среднего общего образования в государственных и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204,90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реализацию мероприятий по ресурсному обеспечению модернизации образования Но</w:t>
            </w:r>
            <w:r>
              <w:rPr>
                <w:sz w:val="24"/>
                <w:szCs w:val="24"/>
              </w:rP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3 200,00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3 200,00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3 200,00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создание социально-э</w:t>
            </w:r>
            <w:r>
              <w:rPr>
                <w:sz w:val="24"/>
                <w:szCs w:val="24"/>
              </w:rPr>
              <w:t xml:space="preserve">кономических условий для повышения качества жизни граждан пожилого возраста, степени их социальной защищенности, содействие их активному участию в жизни общества государственной программы Новосибирской области "Социальная поддержка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1 114,30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1 114,30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1 114,30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организацию и проведение мероприятий с целью расширения прав инвалидов государственной программы Новосибирской области "Социальная поддержка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3 807,90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8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00020245179050000150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обеспечение деятельности советников директора по в</w:t>
            </w:r>
            <w:r>
              <w:rPr>
                <w:sz w:val="24"/>
                <w:szCs w:val="24"/>
              </w:rP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5 130,40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6 607,60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6 082,70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00020249999050000150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на обеспечение проезда детей и совершеннолетних граждан-сопро</w:t>
            </w:r>
            <w:r>
              <w:rPr>
                <w:sz w:val="24"/>
                <w:szCs w:val="24"/>
              </w:rPr>
              <w:t xml:space="preserve">вождающих организованные группы детей к месту отдыха и обратно при условии нахождения места отдыха за пределами Новосибирской области подпрограммы "Семья и дети" государственной программы Новосибирской области "Социальная поддержка в Новосибирской области"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9,50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9,50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63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доходов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1991815,5+8049,9= 1 999 865,40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1473577,2+24419,4=1 497 996,60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1 497 246,50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924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/>
    </w:p>
    <w:p>
      <w:pPr>
        <w:pStyle w:val="92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pStyle w:val="924"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Изменения в распределение расходной части бюджета Колыванского района.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tbl>
      <w:tblPr>
        <w:tblStyle w:val="772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rPr>
          <w:trHeight w:val="375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>
              <w:t xml:space="preserve">КОСГУ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restart"/>
            <w:textDirection w:val="lrTb"/>
            <w:noWrap w:val="false"/>
          </w:tcPr>
          <w:p>
            <w:r>
              <w:t xml:space="preserve">Сумма на 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restart"/>
            <w:textDirection w:val="lrTb"/>
            <w:noWrap w:val="false"/>
          </w:tcPr>
          <w:p>
            <w:r>
              <w:t xml:space="preserve">уменьшение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restart"/>
            <w:textDirection w:val="lrTb"/>
            <w:noWrap w:val="false"/>
          </w:tcPr>
          <w:p>
            <w:r>
              <w:t xml:space="preserve">К утверждению</w:t>
            </w:r>
            <w:r/>
          </w:p>
        </w:tc>
      </w:tr>
      <w:tr>
        <w:trPr>
          <w:trHeight w:val="84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Наименование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РЗ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ПР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КЦСР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КВР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Подвид (код)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увеличение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147174,0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2273,6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149447,6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2 423,2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2 423,2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и содержание аппарта управления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85,5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председателя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66302,9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66667,9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54636,5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55001,5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47554,1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47554,1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6 459,4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6 824,4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623,0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623,0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 и организация деятельности комиссий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1 623,7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1 299,3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1 299,3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324,4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2 853,7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2 853,7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2 366,2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2 366,2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Решение вопросов в сфере административных правонарушений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Субвенции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393,8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393,8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328,3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90,1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2 981,1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2 981,1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2 316,2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2 316,2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664,9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3 703,0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3 703,0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Судебная система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функций контрольно- счетного органа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2697,4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2697,4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2688,4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2688,4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проведения выборов и референдумов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мероприятий, направленных на подготовку и проведение выборов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Резервные фонды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71549,1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71557,7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24004,3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24004,3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21881,3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21881,3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2 101,0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2 101,0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22,0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</w:tr>
      <w:tr>
        <w:trPr>
          <w:trHeight w:val="9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Муниципальная программа "Развитие и поддержка территориального общественного самоуправления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29.0.00.70610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реализации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29.0.00.S0610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Оценка недвижимости, признание прав и регулирование отношений по муниципальной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16340,5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16340,5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Возмещение гражданам ущерба в результате отчуждения (изъятия) принадлежащего им имущества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28307,0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8,6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28315,6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ОБОРОНА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3 328,5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3 358,0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Мобилизационная и вневойсковая подготовка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3 328,5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3 358,0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3 328,5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29,5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3 358,0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</w:tr>
      <w:tr>
        <w:trPr>
          <w:trHeight w:val="3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мероприятий по гражданской обороне, защите населения и территории Колыванского района от чрезвычайных ситуаций природного и техногенного характера в ра</w:t>
            </w:r>
            <w:r>
              <w:t xml:space="preserve">мках реализации муниципальной программы "Организация и осуществление мероприятий по гражданской обороне, защите населения и территории Колыванского района Новосибирской области от чрезвычайных ситуаций природного и техногенного характера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18.0.00.11010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8 789,3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8 789,3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2 528,3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2 528,3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ЭКОНОМИКА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156997,6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156997,6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Сельское хозяйство и рыболовство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650,0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 в рамках муниципальной программы "Развитие сельского хозяйства и регулирование сельскохозяйственных рынков сырья и продовольствия в Колыванском 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19.0.00.12020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мероприятий при осуществлении деятельности по обращению с животными без владельцев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Водное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территорий населенных пунктов Новосибирской области от подтопления и затопления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18.0.00.70870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Транспорт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5417,6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5417,6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90,3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Отдельные мероприятия в области автомобильного транспорта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Дорожное хозяйство (дорожные фонды)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64295,6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64295,6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развитие муниципальных дорог за счет средств "Дорожного фонда"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19652,5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19652,5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15406,1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15406,1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37 574,7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37 574,7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34702,0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34702,0</w:t>
            </w:r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2872,7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2872,7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636,2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636,2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мероприятий по инициативным проектам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2657,1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2657,1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малого и среднего предпринимательства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02.0.00.70690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развитию малого и среднего предпринимательства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33,2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ЖИЛИЩНО-КОММУНАЛЬНОЕ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207376,4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7946,4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215312,0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119941,4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3519,3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123460,6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жилищного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42,4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74200,8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3519,3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77720,0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73904,4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3519,3 (с 1004)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77423,6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(приобретение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605,3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605,3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(приобретению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1679,7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1679,7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77953,8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513,8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78456,8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2 788,3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2 788,3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2 048,3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2 048,3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объектов централизованных систем холодного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04.0.00.70640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32 655,0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32 655,0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и реконструкции объектов централизованных систем холодного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04.0.00.S0640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564,8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564,8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Снабжение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506,7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5 026,7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1 966,0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99,0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2 065,0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2 554,0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407,7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2 961,7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8415,7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8415,7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17380,7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17380,7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</w:tr>
      <w:tr>
        <w:trPr>
          <w:trHeight w:val="12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4900,0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снабжению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301,1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9 481,3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3913,3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13 394,6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3846,7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3 846,7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9 481,3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9 481,3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по строительству и реконструкции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66,6</w:t>
            </w:r>
            <w:r/>
          </w:p>
        </w:tc>
      </w:tr>
      <w:tr>
        <w:trPr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ОКРУЖАЮЩЕЙ СРЕДЫ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</w:tr>
      <w:tr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объектов растительного и животного мира и среды их обитания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</w:tr>
      <w:tr>
        <w:trPr>
          <w:trHeight w:val="4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Природоохранные мероприятия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17.0.00.14070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1101485,4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6356,3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1521,5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1106320,2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Дошкольное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200043,9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1609,2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201653,1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функционирования, расширение и модернизация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05.0.00.02590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функционирования, расширению и модернизации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05.0.00.S2590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10,4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1100,0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1 100,0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19,2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433,0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490,0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923,0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Детские дошкольные учреждения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37349,2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37349,2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113 363,5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113 363,5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47812,3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47812,3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777403,2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3473,0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1521,5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779354,7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110 900,0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450,0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111 350,0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2245,0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447,8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670,2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1 118,0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1210,0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2360,0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Содействие созданию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содействию создания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1 918,0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1 925,8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05.0.E1.51722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обновлению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05.0.E1.S1722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05.0.E2.50980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855,4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855,4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питанием на льготных условиях детей военнослужащих,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99.0.00.04849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Школы-детские сады, школы начальные, неполные средние и средние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94423,7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1521,5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93902,2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20 529,9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20 529,9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в муниципальных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280 934,1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280 934,1</w:t>
            </w:r>
            <w:r/>
          </w:p>
        </w:tc>
      </w:tr>
      <w:tr>
        <w:trPr>
          <w:trHeight w:val="27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получения образовани</w:t>
            </w:r>
            <w:r>
              <w:t xml:space="preserve">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111 425,8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111 425,8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102878,4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102878,4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бесплатного горячего питания обучающихся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99.0.00.L3040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99.0.EВ.51790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5 130,4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5 130,4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Дополнительное образование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86554,9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86616,2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25874,2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61,3 (с 0702)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25935,5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11 558,00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11 558,00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автономным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9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13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48997,7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48997,7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7185,5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7185,5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41812,2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41812,2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Молодежная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"Молодежь Колыванского района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08.0.00.15400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37333,4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1212,8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38546,2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2 035,6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342,8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2 378,4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Оздоровление детей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оздоровлению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2021-2025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06.0.00.15420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</w:tr>
      <w:tr>
        <w:trPr>
          <w:trHeight w:val="16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мероприятий за счет средств муниципальной программы "Патриотическое воспитание граждан Российской Федерации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27.0.00.15800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учреждений, обеспечивающих предоставление муниципальных услуг в сфере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24482,3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790,0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25272,3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20122,6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20122,6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4334,7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790,0 (с 0702)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5124,7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4600,0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КУЛЬТУРА, КИНЕМАТОГРАФИЯ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103224,0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103435,9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103224,0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103435,9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Стипендии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Комплектование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10.0.00.70770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10.0.00.L4670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комплектованию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10.0.00.S0770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</w:tr>
      <w:tr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11.0.00.15430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библиотек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12 416,1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12 416,1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музеев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13 278,7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13 278,7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11 718,7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11 718,7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838,0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31237,8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31237,8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27 871,8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27 871,8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2880,9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2880,9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44070,5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44070,5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16080,9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16080,9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27539,6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27539,6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124579,5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3519,3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121060,2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Пенсионное обеспечение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Доплаты к пенсиям муниципальных служащих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обслуживание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50 860,6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50 860,6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47 052,7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47 052,7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99.0.P3.51630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обеспечение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жильем молодых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03.0.00.L4979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семьи и детства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70284,5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3519,3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66765,2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приемной семье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99.1.00.70289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Выплата вознаграждения приемным родителям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99.2.00.70289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семьям опекунов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99.3.00.70289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21 115,5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3519,3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17 596,2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социальной политики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проведение мероприятий с целью расширения прав инвалидов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99.0.00.70820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49,6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ФИЗИЧЕСКАЯ КУЛЬТУРА И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56402,1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56552,1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Массовый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38547,6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38697,5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09.0.00.18100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Учреждения, обеспечивающие предоставление услуг в сфере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29372,2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29372,2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20910,8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20910,8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4819,4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4819,4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3642,0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3642,0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4 000,0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Спорт высших достижений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17854,5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17854,5</w:t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200,0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4782,3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4582,3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10769,8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10769,8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внутреннего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МЕЖБЮДЖЕТНЫЕ ТРАНСФЕРТЫ ОБЩЕГО ХАРАКТЕРА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112628,6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112628,6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Расчет и предоставление дотаций бюджетам поселений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межбюджетные трансферты общего характера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44679,4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44679,4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43659,4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43659,4</w:t>
            </w:r>
            <w:r/>
          </w:p>
        </w:tc>
      </w:tr>
      <w:tr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Итого расходов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2025411,3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16967,8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5051,5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2037327,6</w:t>
            </w:r>
            <w:r/>
          </w:p>
        </w:tc>
      </w:tr>
    </w:tbl>
    <w:p>
      <w:pPr>
        <w:pStyle w:val="924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16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16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16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16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16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16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16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6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16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16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16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16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16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16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16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16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8">
    <w:name w:val="Heading 1"/>
    <w:basedOn w:val="916"/>
    <w:next w:val="916"/>
    <w:link w:val="7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9">
    <w:name w:val="Heading 1 Char"/>
    <w:link w:val="738"/>
    <w:uiPriority w:val="9"/>
    <w:rPr>
      <w:rFonts w:ascii="Arial" w:hAnsi="Arial" w:eastAsia="Arial" w:cs="Arial"/>
      <w:sz w:val="40"/>
      <w:szCs w:val="40"/>
    </w:rPr>
  </w:style>
  <w:style w:type="paragraph" w:styleId="740">
    <w:name w:val="Heading 2"/>
    <w:basedOn w:val="916"/>
    <w:next w:val="916"/>
    <w:link w:val="7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1">
    <w:name w:val="Heading 2 Char"/>
    <w:link w:val="740"/>
    <w:uiPriority w:val="9"/>
    <w:rPr>
      <w:rFonts w:ascii="Arial" w:hAnsi="Arial" w:eastAsia="Arial" w:cs="Arial"/>
      <w:sz w:val="34"/>
    </w:rPr>
  </w:style>
  <w:style w:type="paragraph" w:styleId="742">
    <w:name w:val="Heading 3"/>
    <w:basedOn w:val="916"/>
    <w:next w:val="916"/>
    <w:link w:val="7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3">
    <w:name w:val="Heading 3 Char"/>
    <w:link w:val="742"/>
    <w:uiPriority w:val="9"/>
    <w:rPr>
      <w:rFonts w:ascii="Arial" w:hAnsi="Arial" w:eastAsia="Arial" w:cs="Arial"/>
      <w:sz w:val="30"/>
      <w:szCs w:val="30"/>
    </w:rPr>
  </w:style>
  <w:style w:type="paragraph" w:styleId="744">
    <w:name w:val="Heading 4"/>
    <w:basedOn w:val="916"/>
    <w:next w:val="916"/>
    <w:link w:val="7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5">
    <w:name w:val="Heading 4 Char"/>
    <w:link w:val="744"/>
    <w:uiPriority w:val="9"/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916"/>
    <w:next w:val="916"/>
    <w:link w:val="7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7">
    <w:name w:val="Heading 5 Char"/>
    <w:link w:val="746"/>
    <w:uiPriority w:val="9"/>
    <w:rPr>
      <w:rFonts w:ascii="Arial" w:hAnsi="Arial" w:eastAsia="Arial" w:cs="Arial"/>
      <w:b/>
      <w:bCs/>
      <w:sz w:val="24"/>
      <w:szCs w:val="24"/>
    </w:rPr>
  </w:style>
  <w:style w:type="paragraph" w:styleId="748">
    <w:name w:val="Heading 6"/>
    <w:basedOn w:val="916"/>
    <w:next w:val="916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9">
    <w:name w:val="Heading 6 Char"/>
    <w:link w:val="748"/>
    <w:uiPriority w:val="9"/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916"/>
    <w:next w:val="916"/>
    <w:link w:val="7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7 Char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916"/>
    <w:next w:val="916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3">
    <w:name w:val="Heading 8 Char"/>
    <w:link w:val="752"/>
    <w:uiPriority w:val="9"/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916"/>
    <w:next w:val="916"/>
    <w:link w:val="7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>
    <w:name w:val="Heading 9 Char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56">
    <w:name w:val="List Paragraph"/>
    <w:basedOn w:val="916"/>
    <w:uiPriority w:val="34"/>
    <w:qFormat/>
    <w:pPr>
      <w:contextualSpacing/>
      <w:ind w:left="720"/>
    </w:pPr>
  </w:style>
  <w:style w:type="paragraph" w:styleId="757">
    <w:name w:val="No Spacing"/>
    <w:uiPriority w:val="1"/>
    <w:qFormat/>
    <w:pPr>
      <w:spacing w:before="0" w:after="0" w:line="240" w:lineRule="auto"/>
    </w:pPr>
  </w:style>
  <w:style w:type="paragraph" w:styleId="758">
    <w:name w:val="Title"/>
    <w:basedOn w:val="916"/>
    <w:next w:val="916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>
    <w:name w:val="Title Char"/>
    <w:link w:val="758"/>
    <w:uiPriority w:val="10"/>
    <w:rPr>
      <w:sz w:val="48"/>
      <w:szCs w:val="48"/>
    </w:rPr>
  </w:style>
  <w:style w:type="paragraph" w:styleId="760">
    <w:name w:val="Subtitle"/>
    <w:basedOn w:val="916"/>
    <w:next w:val="916"/>
    <w:link w:val="761"/>
    <w:uiPriority w:val="11"/>
    <w:qFormat/>
    <w:pPr>
      <w:spacing w:before="200" w:after="200"/>
    </w:pPr>
    <w:rPr>
      <w:sz w:val="24"/>
      <w:szCs w:val="24"/>
    </w:rPr>
  </w:style>
  <w:style w:type="character" w:styleId="761">
    <w:name w:val="Subtitle Char"/>
    <w:link w:val="760"/>
    <w:uiPriority w:val="11"/>
    <w:rPr>
      <w:sz w:val="24"/>
      <w:szCs w:val="24"/>
    </w:rPr>
  </w:style>
  <w:style w:type="paragraph" w:styleId="762">
    <w:name w:val="Quote"/>
    <w:basedOn w:val="916"/>
    <w:next w:val="916"/>
    <w:link w:val="763"/>
    <w:uiPriority w:val="29"/>
    <w:qFormat/>
    <w:pPr>
      <w:ind w:left="720" w:right="720"/>
    </w:pPr>
    <w:rPr>
      <w:i/>
    </w:rPr>
  </w:style>
  <w:style w:type="character" w:styleId="763">
    <w:name w:val="Quote Char"/>
    <w:link w:val="762"/>
    <w:uiPriority w:val="29"/>
    <w:rPr>
      <w:i/>
    </w:rPr>
  </w:style>
  <w:style w:type="paragraph" w:styleId="764">
    <w:name w:val="Intense Quote"/>
    <w:basedOn w:val="916"/>
    <w:next w:val="916"/>
    <w:link w:val="7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>
    <w:name w:val="Intense Quote Char"/>
    <w:link w:val="764"/>
    <w:uiPriority w:val="30"/>
    <w:rPr>
      <w:i/>
    </w:rPr>
  </w:style>
  <w:style w:type="paragraph" w:styleId="766">
    <w:name w:val="Header"/>
    <w:basedOn w:val="916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7">
    <w:name w:val="Header Char"/>
    <w:link w:val="766"/>
    <w:uiPriority w:val="99"/>
  </w:style>
  <w:style w:type="paragraph" w:styleId="768">
    <w:name w:val="Footer"/>
    <w:basedOn w:val="916"/>
    <w:link w:val="7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9">
    <w:name w:val="Footer Char"/>
    <w:link w:val="768"/>
    <w:uiPriority w:val="99"/>
  </w:style>
  <w:style w:type="paragraph" w:styleId="770">
    <w:name w:val="Caption"/>
    <w:basedOn w:val="916"/>
    <w:next w:val="9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1">
    <w:name w:val="Caption Char"/>
    <w:basedOn w:val="770"/>
    <w:link w:val="768"/>
    <w:uiPriority w:val="99"/>
  </w:style>
  <w:style w:type="table" w:styleId="77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8">
    <w:name w:val="Hyperlink"/>
    <w:uiPriority w:val="99"/>
    <w:unhideWhenUsed/>
    <w:rPr>
      <w:color w:val="0000ff" w:themeColor="hyperlink"/>
      <w:u w:val="single"/>
    </w:rPr>
  </w:style>
  <w:style w:type="paragraph" w:styleId="899">
    <w:name w:val="footnote text"/>
    <w:basedOn w:val="916"/>
    <w:link w:val="900"/>
    <w:uiPriority w:val="99"/>
    <w:semiHidden/>
    <w:unhideWhenUsed/>
    <w:pPr>
      <w:spacing w:after="40" w:line="240" w:lineRule="auto"/>
    </w:pPr>
    <w:rPr>
      <w:sz w:val="18"/>
    </w:rPr>
  </w:style>
  <w:style w:type="character" w:styleId="900">
    <w:name w:val="Footnote Text Char"/>
    <w:link w:val="899"/>
    <w:uiPriority w:val="99"/>
    <w:rPr>
      <w:sz w:val="18"/>
    </w:rPr>
  </w:style>
  <w:style w:type="character" w:styleId="901">
    <w:name w:val="footnote reference"/>
    <w:uiPriority w:val="99"/>
    <w:unhideWhenUsed/>
    <w:rPr>
      <w:vertAlign w:val="superscript"/>
    </w:rPr>
  </w:style>
  <w:style w:type="paragraph" w:styleId="902">
    <w:name w:val="endnote text"/>
    <w:basedOn w:val="916"/>
    <w:link w:val="903"/>
    <w:uiPriority w:val="99"/>
    <w:semiHidden/>
    <w:unhideWhenUsed/>
    <w:pPr>
      <w:spacing w:after="0" w:line="240" w:lineRule="auto"/>
    </w:pPr>
    <w:rPr>
      <w:sz w:val="20"/>
    </w:rPr>
  </w:style>
  <w:style w:type="character" w:styleId="903">
    <w:name w:val="Endnote Text Char"/>
    <w:link w:val="902"/>
    <w:uiPriority w:val="99"/>
    <w:rPr>
      <w:sz w:val="20"/>
    </w:rPr>
  </w:style>
  <w:style w:type="character" w:styleId="904">
    <w:name w:val="endnote reference"/>
    <w:uiPriority w:val="99"/>
    <w:semiHidden/>
    <w:unhideWhenUsed/>
    <w:rPr>
      <w:vertAlign w:val="superscript"/>
    </w:rPr>
  </w:style>
  <w:style w:type="paragraph" w:styleId="905">
    <w:name w:val="toc 1"/>
    <w:basedOn w:val="916"/>
    <w:next w:val="916"/>
    <w:uiPriority w:val="39"/>
    <w:unhideWhenUsed/>
    <w:pPr>
      <w:ind w:left="0" w:right="0" w:firstLine="0"/>
      <w:spacing w:after="57"/>
    </w:pPr>
  </w:style>
  <w:style w:type="paragraph" w:styleId="906">
    <w:name w:val="toc 2"/>
    <w:basedOn w:val="916"/>
    <w:next w:val="916"/>
    <w:uiPriority w:val="39"/>
    <w:unhideWhenUsed/>
    <w:pPr>
      <w:ind w:left="283" w:right="0" w:firstLine="0"/>
      <w:spacing w:after="57"/>
    </w:pPr>
  </w:style>
  <w:style w:type="paragraph" w:styleId="907">
    <w:name w:val="toc 3"/>
    <w:basedOn w:val="916"/>
    <w:next w:val="916"/>
    <w:uiPriority w:val="39"/>
    <w:unhideWhenUsed/>
    <w:pPr>
      <w:ind w:left="567" w:right="0" w:firstLine="0"/>
      <w:spacing w:after="57"/>
    </w:pPr>
  </w:style>
  <w:style w:type="paragraph" w:styleId="908">
    <w:name w:val="toc 4"/>
    <w:basedOn w:val="916"/>
    <w:next w:val="916"/>
    <w:uiPriority w:val="39"/>
    <w:unhideWhenUsed/>
    <w:pPr>
      <w:ind w:left="850" w:right="0" w:firstLine="0"/>
      <w:spacing w:after="57"/>
    </w:pPr>
  </w:style>
  <w:style w:type="paragraph" w:styleId="909">
    <w:name w:val="toc 5"/>
    <w:basedOn w:val="916"/>
    <w:next w:val="916"/>
    <w:uiPriority w:val="39"/>
    <w:unhideWhenUsed/>
    <w:pPr>
      <w:ind w:left="1134" w:right="0" w:firstLine="0"/>
      <w:spacing w:after="57"/>
    </w:pPr>
  </w:style>
  <w:style w:type="paragraph" w:styleId="910">
    <w:name w:val="toc 6"/>
    <w:basedOn w:val="916"/>
    <w:next w:val="916"/>
    <w:uiPriority w:val="39"/>
    <w:unhideWhenUsed/>
    <w:pPr>
      <w:ind w:left="1417" w:right="0" w:firstLine="0"/>
      <w:spacing w:after="57"/>
    </w:pPr>
  </w:style>
  <w:style w:type="paragraph" w:styleId="911">
    <w:name w:val="toc 7"/>
    <w:basedOn w:val="916"/>
    <w:next w:val="916"/>
    <w:uiPriority w:val="39"/>
    <w:unhideWhenUsed/>
    <w:pPr>
      <w:ind w:left="1701" w:right="0" w:firstLine="0"/>
      <w:spacing w:after="57"/>
    </w:pPr>
  </w:style>
  <w:style w:type="paragraph" w:styleId="912">
    <w:name w:val="toc 8"/>
    <w:basedOn w:val="916"/>
    <w:next w:val="916"/>
    <w:uiPriority w:val="39"/>
    <w:unhideWhenUsed/>
    <w:pPr>
      <w:ind w:left="1984" w:right="0" w:firstLine="0"/>
      <w:spacing w:after="57"/>
    </w:pPr>
  </w:style>
  <w:style w:type="paragraph" w:styleId="913">
    <w:name w:val="toc 9"/>
    <w:basedOn w:val="916"/>
    <w:next w:val="916"/>
    <w:uiPriority w:val="39"/>
    <w:unhideWhenUsed/>
    <w:pPr>
      <w:ind w:left="2268" w:right="0" w:firstLine="0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basedOn w:val="916"/>
    <w:next w:val="916"/>
    <w:uiPriority w:val="99"/>
    <w:unhideWhenUsed/>
    <w:pPr>
      <w:spacing w:after="0" w:afterAutospacing="0"/>
    </w:pPr>
  </w:style>
  <w:style w:type="paragraph" w:styleId="916" w:default="1">
    <w:name w:val="Normal"/>
    <w:next w:val="916"/>
    <w:link w:val="916"/>
    <w:qFormat/>
    <w:rPr>
      <w:sz w:val="28"/>
      <w:lang w:val="ru-RU" w:eastAsia="ru-RU" w:bidi="ar-SA"/>
    </w:rPr>
  </w:style>
  <w:style w:type="character" w:styleId="917">
    <w:name w:val="Основной шрифт абзаца"/>
    <w:next w:val="917"/>
    <w:link w:val="916"/>
    <w:semiHidden/>
  </w:style>
  <w:style w:type="table" w:styleId="918">
    <w:name w:val="Обычная таблица"/>
    <w:next w:val="918"/>
    <w:link w:val="916"/>
    <w:semiHidden/>
    <w:tblPr/>
  </w:style>
  <w:style w:type="numbering" w:styleId="919">
    <w:name w:val="Нет списка"/>
    <w:next w:val="919"/>
    <w:link w:val="916"/>
    <w:uiPriority w:val="99"/>
    <w:semiHidden/>
  </w:style>
  <w:style w:type="paragraph" w:styleId="920">
    <w:name w:val="Знак"/>
    <w:basedOn w:val="916"/>
    <w:next w:val="920"/>
    <w:link w:val="916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21">
    <w:name w:val="Основной текст, Знак, Знак1 Знак,Основной текст1,bt,Основной текст Знак,Знак1 Знак"/>
    <w:basedOn w:val="916"/>
    <w:next w:val="921"/>
    <w:link w:val="922"/>
    <w:pPr>
      <w:jc w:val="both"/>
    </w:pPr>
  </w:style>
  <w:style w:type="character" w:styleId="922">
    <w:name w:val="Основной текст Знак1, Знак Знак, Знак1 Знак Знак,Основной текст1 Знак,bt Знак,Основной текст Знак Знак,Знак1 Знак Знак,Знак Знак"/>
    <w:next w:val="922"/>
    <w:link w:val="921"/>
    <w:rPr>
      <w:sz w:val="28"/>
      <w:lang w:val="ru-RU" w:eastAsia="ru-RU" w:bidi="ar-SA"/>
    </w:rPr>
  </w:style>
  <w:style w:type="table" w:styleId="923">
    <w:name w:val="Сетка таблицы"/>
    <w:basedOn w:val="918"/>
    <w:next w:val="923"/>
    <w:link w:val="916"/>
    <w:uiPriority w:val="39"/>
    <w:tblPr/>
  </w:style>
  <w:style w:type="paragraph" w:styleId="924">
    <w:name w:val="Верхний колонтитул"/>
    <w:basedOn w:val="916"/>
    <w:next w:val="924"/>
    <w:link w:val="940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5">
    <w:name w:val="Основной текст с отступом 2"/>
    <w:basedOn w:val="916"/>
    <w:next w:val="925"/>
    <w:link w:val="916"/>
    <w:pPr>
      <w:ind w:left="283"/>
      <w:spacing w:after="120" w:line="480" w:lineRule="auto"/>
    </w:pPr>
    <w:rPr>
      <w:sz w:val="24"/>
      <w:szCs w:val="24"/>
    </w:rPr>
  </w:style>
  <w:style w:type="paragraph" w:styleId="926">
    <w:name w:val="Заголовок,Название"/>
    <w:basedOn w:val="916"/>
    <w:next w:val="926"/>
    <w:link w:val="938"/>
    <w:uiPriority w:val="10"/>
    <w:qFormat/>
    <w:pPr>
      <w:jc w:val="center"/>
    </w:pPr>
    <w:rPr>
      <w:b/>
      <w:sz w:val="24"/>
    </w:rPr>
  </w:style>
  <w:style w:type="paragraph" w:styleId="927">
    <w:name w:val="ConsNormal"/>
    <w:next w:val="927"/>
    <w:link w:val="916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28">
    <w:name w:val="Нижний колонтитул"/>
    <w:basedOn w:val="916"/>
    <w:next w:val="928"/>
    <w:link w:val="939"/>
    <w:uiPriority w:val="99"/>
    <w:pPr>
      <w:tabs>
        <w:tab w:val="center" w:pos="4677" w:leader="none"/>
        <w:tab w:val="right" w:pos="9355" w:leader="none"/>
      </w:tabs>
    </w:pPr>
  </w:style>
  <w:style w:type="character" w:styleId="929">
    <w:name w:val="Номер страницы"/>
    <w:basedOn w:val="917"/>
    <w:next w:val="929"/>
    <w:link w:val="916"/>
  </w:style>
  <w:style w:type="paragraph" w:styleId="930">
    <w:name w:val="ConsNonformat"/>
    <w:next w:val="930"/>
    <w:link w:val="916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31">
    <w:name w:val="ConsTitle"/>
    <w:next w:val="931"/>
    <w:link w:val="916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32">
    <w:name w:val="Normal1"/>
    <w:next w:val="932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33">
    <w:name w:val="ConsPlusNormal"/>
    <w:next w:val="933"/>
    <w:link w:val="98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4">
    <w:name w:val="ConsPlusNonformat"/>
    <w:next w:val="934"/>
    <w:link w:val="916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5">
    <w:name w:val="ConsPlusTitle"/>
    <w:next w:val="935"/>
    <w:link w:val="916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36">
    <w:name w:val="Оглавление 2"/>
    <w:basedOn w:val="916"/>
    <w:next w:val="916"/>
    <w:link w:val="916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37">
    <w:name w:val=" Знак Знак1 Знак Знак"/>
    <w:basedOn w:val="916"/>
    <w:next w:val="937"/>
    <w:link w:val="917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38">
    <w:name w:val="Название Знак"/>
    <w:next w:val="938"/>
    <w:link w:val="926"/>
    <w:rPr>
      <w:b/>
      <w:sz w:val="24"/>
    </w:rPr>
  </w:style>
  <w:style w:type="character" w:styleId="939">
    <w:name w:val="Нижний колонтитул Знак"/>
    <w:next w:val="939"/>
    <w:link w:val="928"/>
    <w:uiPriority w:val="99"/>
    <w:rPr>
      <w:sz w:val="28"/>
    </w:rPr>
  </w:style>
  <w:style w:type="character" w:styleId="940">
    <w:name w:val="Верхний колонтитул Знак"/>
    <w:next w:val="940"/>
    <w:link w:val="924"/>
    <w:uiPriority w:val="99"/>
    <w:rPr>
      <w:sz w:val="28"/>
      <w:szCs w:val="28"/>
    </w:rPr>
  </w:style>
  <w:style w:type="paragraph" w:styleId="941">
    <w:name w:val="Текст выноски"/>
    <w:basedOn w:val="916"/>
    <w:next w:val="941"/>
    <w:link w:val="942"/>
    <w:rPr>
      <w:rFonts w:ascii="Tahoma" w:hAnsi="Tahoma" w:cs="Tahoma"/>
      <w:sz w:val="16"/>
      <w:szCs w:val="16"/>
    </w:rPr>
  </w:style>
  <w:style w:type="character" w:styleId="942">
    <w:name w:val="Текст выноски Знак"/>
    <w:next w:val="942"/>
    <w:link w:val="941"/>
    <w:rPr>
      <w:rFonts w:ascii="Tahoma" w:hAnsi="Tahoma" w:cs="Tahoma"/>
      <w:sz w:val="16"/>
      <w:szCs w:val="16"/>
    </w:rPr>
  </w:style>
  <w:style w:type="paragraph" w:styleId="943">
    <w:name w:val="Знак Знак1 Знак Знак"/>
    <w:basedOn w:val="916"/>
    <w:next w:val="94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4">
    <w:name w:val=" Знак Знак1 Знак Знак Знак Знак"/>
    <w:basedOn w:val="916"/>
    <w:next w:val="944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5">
    <w:name w:val=" Знак Знак1"/>
    <w:basedOn w:val="916"/>
    <w:next w:val="94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6">
    <w:name w:val=" Знак Знак1 Знак Знак Знак Знак Знак Знак Знак Знак"/>
    <w:basedOn w:val="916"/>
    <w:next w:val="946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7">
    <w:name w:val=" Знак Знак4"/>
    <w:basedOn w:val="916"/>
    <w:next w:val="947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8">
    <w:name w:val="Выделение"/>
    <w:next w:val="948"/>
    <w:link w:val="916"/>
    <w:qFormat/>
    <w:rPr>
      <w:rFonts w:cs="Times New Roman"/>
      <w:i/>
      <w:iCs/>
    </w:rPr>
  </w:style>
  <w:style w:type="paragraph" w:styleId="949">
    <w:name w:val=" Знак Знак4 Знак Знак Знак Знак1 Знак Знак Знак Знак"/>
    <w:basedOn w:val="916"/>
    <w:next w:val="94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 Знак Знак4 Знак Знак Знак Знак"/>
    <w:basedOn w:val="916"/>
    <w:next w:val="95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1">
    <w:name w:val=" Знак Знак4 Знак Знак"/>
    <w:basedOn w:val="916"/>
    <w:next w:val="95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2">
    <w:name w:val=" Знак Знак4 Знак Знак Знак Знак1"/>
    <w:basedOn w:val="916"/>
    <w:next w:val="95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3">
    <w:name w:val=" Знак Знак5"/>
    <w:basedOn w:val="916"/>
    <w:next w:val="95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4">
    <w:name w:val="Знак Знак Знак2 Знак"/>
    <w:basedOn w:val="916"/>
    <w:next w:val="954"/>
    <w:link w:val="916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5">
    <w:name w:val="1"/>
    <w:basedOn w:val="916"/>
    <w:next w:val="95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6">
    <w:name w:val="Знак примечания"/>
    <w:next w:val="956"/>
    <w:link w:val="916"/>
    <w:uiPriority w:val="99"/>
    <w:unhideWhenUsed/>
    <w:rPr>
      <w:sz w:val="16"/>
      <w:szCs w:val="16"/>
    </w:rPr>
  </w:style>
  <w:style w:type="character" w:styleId="957">
    <w:name w:val="Основной текст (2)_"/>
    <w:next w:val="957"/>
    <w:link w:val="958"/>
    <w:rPr>
      <w:sz w:val="26"/>
      <w:szCs w:val="26"/>
      <w:shd w:val="clear" w:color="auto" w:fill="ffffff"/>
    </w:rPr>
  </w:style>
  <w:style w:type="paragraph" w:styleId="958">
    <w:name w:val="Основной текст (2)"/>
    <w:basedOn w:val="916"/>
    <w:next w:val="958"/>
    <w:link w:val="957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59">
    <w:name w:val="Абзац списка"/>
    <w:basedOn w:val="916"/>
    <w:next w:val="959"/>
    <w:link w:val="916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60">
    <w:name w:val="Текст примечания"/>
    <w:basedOn w:val="916"/>
    <w:next w:val="960"/>
    <w:link w:val="961"/>
    <w:rPr>
      <w:sz w:val="20"/>
    </w:rPr>
  </w:style>
  <w:style w:type="character" w:styleId="961">
    <w:name w:val="Текст примечания Знак"/>
    <w:basedOn w:val="917"/>
    <w:next w:val="961"/>
    <w:link w:val="960"/>
  </w:style>
  <w:style w:type="paragraph" w:styleId="962">
    <w:name w:val="Тема примечания"/>
    <w:basedOn w:val="960"/>
    <w:next w:val="960"/>
    <w:link w:val="963"/>
    <w:rPr>
      <w:b/>
      <w:bCs/>
    </w:rPr>
  </w:style>
  <w:style w:type="character" w:styleId="963">
    <w:name w:val="Тема примечания Знак"/>
    <w:next w:val="963"/>
    <w:link w:val="962"/>
    <w:rPr>
      <w:b/>
      <w:bCs/>
    </w:rPr>
  </w:style>
  <w:style w:type="numbering" w:styleId="964">
    <w:name w:val="Нет списка1"/>
    <w:next w:val="919"/>
    <w:link w:val="916"/>
    <w:uiPriority w:val="99"/>
    <w:semiHidden/>
    <w:unhideWhenUsed/>
  </w:style>
  <w:style w:type="numbering" w:styleId="965">
    <w:name w:val="Нет списка11"/>
    <w:next w:val="919"/>
    <w:link w:val="916"/>
    <w:semiHidden/>
  </w:style>
  <w:style w:type="paragraph" w:styleId="966">
    <w:name w:val="Обычный1"/>
    <w:next w:val="966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67">
    <w:name w:val="Сетка таблицы1"/>
    <w:basedOn w:val="918"/>
    <w:next w:val="923"/>
    <w:link w:val="916"/>
    <w:tblPr/>
  </w:style>
  <w:style w:type="paragraph" w:styleId="968">
    <w:name w:val="Знак Знак1"/>
    <w:basedOn w:val="916"/>
    <w:next w:val="968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9">
    <w:name w:val="Знак Знак1 Знак Знак Знак Знак"/>
    <w:basedOn w:val="916"/>
    <w:next w:val="96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0">
    <w:name w:val="Знак Знак1 Знак Знак Знак Знак Знак Знак Знак Знак"/>
    <w:basedOn w:val="916"/>
    <w:next w:val="97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1">
    <w:name w:val="Знак Знак4"/>
    <w:basedOn w:val="916"/>
    <w:next w:val="97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2">
    <w:name w:val="Знак Знак5"/>
    <w:basedOn w:val="916"/>
    <w:next w:val="97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73">
    <w:name w:val="Нет списка111"/>
    <w:next w:val="919"/>
    <w:link w:val="916"/>
    <w:uiPriority w:val="99"/>
    <w:semiHidden/>
    <w:unhideWhenUsed/>
  </w:style>
  <w:style w:type="character" w:styleId="974">
    <w:name w:val="Заголовок Знак"/>
    <w:next w:val="974"/>
    <w:link w:val="916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5">
    <w:name w:val="Нет списка2"/>
    <w:next w:val="919"/>
    <w:link w:val="916"/>
    <w:semiHidden/>
  </w:style>
  <w:style w:type="numbering" w:styleId="976">
    <w:name w:val="Нет списка12"/>
    <w:next w:val="919"/>
    <w:link w:val="916"/>
    <w:uiPriority w:val="99"/>
    <w:semiHidden/>
    <w:unhideWhenUsed/>
  </w:style>
  <w:style w:type="numbering" w:styleId="977">
    <w:name w:val="Нет списка3"/>
    <w:next w:val="919"/>
    <w:link w:val="916"/>
    <w:semiHidden/>
  </w:style>
  <w:style w:type="paragraph" w:styleId="978">
    <w:name w:val="Обычный2"/>
    <w:next w:val="978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9">
    <w:name w:val="Сетка таблицы2"/>
    <w:basedOn w:val="918"/>
    <w:next w:val="923"/>
    <w:link w:val="916"/>
    <w:tblPr/>
  </w:style>
  <w:style w:type="character" w:styleId="980">
    <w:name w:val="ConsPlusNormal Знак"/>
    <w:next w:val="980"/>
    <w:link w:val="933"/>
    <w:rPr>
      <w:rFonts w:ascii="Arial" w:hAnsi="Arial" w:cs="Arial"/>
    </w:rPr>
  </w:style>
  <w:style w:type="character" w:styleId="981">
    <w:name w:val="Гиперссылка"/>
    <w:next w:val="981"/>
    <w:link w:val="916"/>
    <w:uiPriority w:val="99"/>
    <w:unhideWhenUsed/>
    <w:rPr>
      <w:color w:val="0563c1"/>
      <w:u w:val="single"/>
    </w:rPr>
  </w:style>
  <w:style w:type="character" w:styleId="982">
    <w:name w:val="Просмотренная гиперссылка"/>
    <w:next w:val="982"/>
    <w:link w:val="916"/>
    <w:uiPriority w:val="99"/>
    <w:unhideWhenUsed/>
    <w:rPr>
      <w:color w:val="954f72"/>
      <w:u w:val="single"/>
    </w:rPr>
  </w:style>
  <w:style w:type="paragraph" w:styleId="983">
    <w:name w:val="msonormal"/>
    <w:basedOn w:val="916"/>
    <w:next w:val="983"/>
    <w:link w:val="916"/>
    <w:pPr>
      <w:spacing w:before="100" w:beforeAutospacing="1" w:after="100" w:afterAutospacing="1"/>
    </w:pPr>
    <w:rPr>
      <w:sz w:val="24"/>
      <w:szCs w:val="24"/>
    </w:rPr>
  </w:style>
  <w:style w:type="paragraph" w:styleId="984">
    <w:name w:val="font5"/>
    <w:basedOn w:val="916"/>
    <w:next w:val="984"/>
    <w:link w:val="916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5">
    <w:name w:val="xl66"/>
    <w:basedOn w:val="916"/>
    <w:next w:val="98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6">
    <w:name w:val="xl67"/>
    <w:basedOn w:val="916"/>
    <w:next w:val="986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7">
    <w:name w:val="xl68"/>
    <w:basedOn w:val="916"/>
    <w:next w:val="98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8">
    <w:name w:val="xl69"/>
    <w:basedOn w:val="916"/>
    <w:next w:val="988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9">
    <w:name w:val="xl70"/>
    <w:basedOn w:val="916"/>
    <w:next w:val="989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0">
    <w:name w:val="xl71"/>
    <w:basedOn w:val="916"/>
    <w:next w:val="99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1">
    <w:name w:val="xl72"/>
    <w:basedOn w:val="916"/>
    <w:next w:val="991"/>
    <w:link w:val="916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92">
    <w:name w:val="xl73"/>
    <w:basedOn w:val="916"/>
    <w:next w:val="992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3">
    <w:name w:val="xl74"/>
    <w:basedOn w:val="916"/>
    <w:next w:val="993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4">
    <w:name w:val="xl75"/>
    <w:basedOn w:val="916"/>
    <w:next w:val="99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5">
    <w:name w:val="xl76"/>
    <w:basedOn w:val="916"/>
    <w:next w:val="995"/>
    <w:link w:val="91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6">
    <w:name w:val="xl77"/>
    <w:basedOn w:val="916"/>
    <w:next w:val="99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7">
    <w:name w:val="xl78"/>
    <w:basedOn w:val="916"/>
    <w:next w:val="997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8">
    <w:name w:val="xl79"/>
    <w:basedOn w:val="916"/>
    <w:next w:val="99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>
    <w:name w:val="xl80"/>
    <w:basedOn w:val="916"/>
    <w:next w:val="99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0">
    <w:name w:val="xl81"/>
    <w:basedOn w:val="916"/>
    <w:next w:val="100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1">
    <w:name w:val="xl82"/>
    <w:basedOn w:val="916"/>
    <w:next w:val="100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2">
    <w:name w:val="xl83"/>
    <w:basedOn w:val="916"/>
    <w:next w:val="100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84"/>
    <w:basedOn w:val="916"/>
    <w:next w:val="100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4">
    <w:name w:val="xl85"/>
    <w:basedOn w:val="916"/>
    <w:next w:val="100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>
    <w:name w:val="xl86"/>
    <w:basedOn w:val="916"/>
    <w:next w:val="100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6">
    <w:name w:val="xl87"/>
    <w:basedOn w:val="916"/>
    <w:next w:val="100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7">
    <w:name w:val="xl88"/>
    <w:basedOn w:val="916"/>
    <w:next w:val="100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8">
    <w:name w:val="xl89"/>
    <w:basedOn w:val="916"/>
    <w:next w:val="1008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9">
    <w:name w:val="xl90"/>
    <w:basedOn w:val="916"/>
    <w:next w:val="100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0">
    <w:name w:val="xl91"/>
    <w:basedOn w:val="916"/>
    <w:next w:val="101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1">
    <w:name w:val="xl92"/>
    <w:basedOn w:val="916"/>
    <w:next w:val="101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2">
    <w:name w:val="xl93"/>
    <w:basedOn w:val="916"/>
    <w:next w:val="101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3">
    <w:name w:val="xl94"/>
    <w:basedOn w:val="916"/>
    <w:next w:val="101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4">
    <w:name w:val="xl95"/>
    <w:basedOn w:val="916"/>
    <w:next w:val="101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5">
    <w:name w:val="xl96"/>
    <w:basedOn w:val="916"/>
    <w:next w:val="1015"/>
    <w:link w:val="916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6">
    <w:name w:val="xl97"/>
    <w:basedOn w:val="916"/>
    <w:next w:val="1016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98"/>
    <w:basedOn w:val="916"/>
    <w:next w:val="101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8">
    <w:name w:val="xl99"/>
    <w:basedOn w:val="916"/>
    <w:next w:val="1018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9">
    <w:name w:val="xl100"/>
    <w:basedOn w:val="916"/>
    <w:next w:val="101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0">
    <w:name w:val="xl101"/>
    <w:basedOn w:val="916"/>
    <w:next w:val="1020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102"/>
    <w:basedOn w:val="916"/>
    <w:next w:val="102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2">
    <w:name w:val="xl103"/>
    <w:basedOn w:val="916"/>
    <w:next w:val="102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3">
    <w:name w:val="xl104"/>
    <w:basedOn w:val="916"/>
    <w:next w:val="102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4">
    <w:name w:val="xl105"/>
    <w:basedOn w:val="916"/>
    <w:next w:val="1024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06"/>
    <w:basedOn w:val="916"/>
    <w:next w:val="1025"/>
    <w:link w:val="91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6">
    <w:name w:val="xl107"/>
    <w:basedOn w:val="916"/>
    <w:next w:val="1026"/>
    <w:link w:val="916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27">
    <w:name w:val="xl108"/>
    <w:basedOn w:val="916"/>
    <w:next w:val="1027"/>
    <w:link w:val="916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28">
    <w:name w:val="xl109"/>
    <w:basedOn w:val="916"/>
    <w:next w:val="1028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9">
    <w:name w:val="xl110"/>
    <w:basedOn w:val="916"/>
    <w:next w:val="102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0">
    <w:name w:val="xl111"/>
    <w:basedOn w:val="916"/>
    <w:next w:val="103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31">
    <w:name w:val="xl112"/>
    <w:basedOn w:val="916"/>
    <w:next w:val="1031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2">
    <w:name w:val="xl113"/>
    <w:basedOn w:val="916"/>
    <w:next w:val="103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3">
    <w:name w:val="xl114"/>
    <w:basedOn w:val="916"/>
    <w:next w:val="1033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4">
    <w:name w:val="xl115"/>
    <w:basedOn w:val="916"/>
    <w:next w:val="1034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5">
    <w:name w:val="xl116"/>
    <w:basedOn w:val="916"/>
    <w:next w:val="103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6">
    <w:name w:val="xl117"/>
    <w:basedOn w:val="916"/>
    <w:next w:val="1036"/>
    <w:link w:val="916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37">
    <w:name w:val="xl118"/>
    <w:basedOn w:val="916"/>
    <w:next w:val="103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8">
    <w:name w:val="xl119"/>
    <w:basedOn w:val="916"/>
    <w:next w:val="1038"/>
    <w:link w:val="916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39">
    <w:name w:val="xl120"/>
    <w:basedOn w:val="916"/>
    <w:next w:val="1039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0">
    <w:name w:val="xl121"/>
    <w:basedOn w:val="916"/>
    <w:next w:val="104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1">
    <w:name w:val="xl122"/>
    <w:basedOn w:val="916"/>
    <w:next w:val="1041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2">
    <w:name w:val="xl123"/>
    <w:basedOn w:val="916"/>
    <w:next w:val="1042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3">
    <w:name w:val="xl124"/>
    <w:basedOn w:val="916"/>
    <w:next w:val="1043"/>
    <w:link w:val="916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4">
    <w:name w:val="xl125"/>
    <w:basedOn w:val="916"/>
    <w:next w:val="104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5">
    <w:name w:val="xl126"/>
    <w:basedOn w:val="916"/>
    <w:next w:val="1045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6">
    <w:name w:val="xl127"/>
    <w:basedOn w:val="916"/>
    <w:next w:val="104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7">
    <w:name w:val="xl128"/>
    <w:basedOn w:val="916"/>
    <w:next w:val="104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129"/>
    <w:basedOn w:val="916"/>
    <w:next w:val="104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9">
    <w:name w:val="xl130"/>
    <w:basedOn w:val="916"/>
    <w:next w:val="104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0">
    <w:name w:val="xl131"/>
    <w:basedOn w:val="916"/>
    <w:next w:val="105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1">
    <w:name w:val="xl132"/>
    <w:basedOn w:val="916"/>
    <w:next w:val="1051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2">
    <w:name w:val="xl133"/>
    <w:basedOn w:val="916"/>
    <w:next w:val="1052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34"/>
    <w:basedOn w:val="916"/>
    <w:next w:val="105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4">
    <w:name w:val="xl135"/>
    <w:basedOn w:val="916"/>
    <w:next w:val="105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5">
    <w:name w:val="xl136"/>
    <w:basedOn w:val="916"/>
    <w:next w:val="105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6">
    <w:name w:val="xl137"/>
    <w:basedOn w:val="916"/>
    <w:next w:val="105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7">
    <w:name w:val="xl138"/>
    <w:basedOn w:val="916"/>
    <w:next w:val="105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8">
    <w:name w:val="xl139"/>
    <w:basedOn w:val="916"/>
    <w:next w:val="105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9">
    <w:name w:val="xl140"/>
    <w:basedOn w:val="916"/>
    <w:next w:val="1059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0">
    <w:name w:val="xl141"/>
    <w:basedOn w:val="916"/>
    <w:next w:val="106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61">
    <w:name w:val="xl142"/>
    <w:basedOn w:val="916"/>
    <w:next w:val="1061"/>
    <w:link w:val="916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62">
    <w:name w:val="xl143"/>
    <w:basedOn w:val="916"/>
    <w:next w:val="106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3">
    <w:name w:val="xl144"/>
    <w:basedOn w:val="916"/>
    <w:next w:val="106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4">
    <w:name w:val="xl145"/>
    <w:basedOn w:val="916"/>
    <w:next w:val="106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5">
    <w:name w:val="xl146"/>
    <w:basedOn w:val="916"/>
    <w:next w:val="106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6">
    <w:name w:val="xl147"/>
    <w:basedOn w:val="916"/>
    <w:next w:val="1066"/>
    <w:link w:val="916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67">
    <w:name w:val="xl148"/>
    <w:basedOn w:val="916"/>
    <w:next w:val="1067"/>
    <w:link w:val="916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68">
    <w:name w:val="xl65"/>
    <w:basedOn w:val="916"/>
    <w:next w:val="1068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69" w:default="1">
    <w:name w:val="Default Paragraph Font"/>
    <w:uiPriority w:val="1"/>
    <w:semiHidden/>
    <w:unhideWhenUsed/>
  </w:style>
  <w:style w:type="numbering" w:styleId="1070" w:default="1">
    <w:name w:val="No List"/>
    <w:uiPriority w:val="99"/>
    <w:semiHidden/>
    <w:unhideWhenUsed/>
  </w:style>
  <w:style w:type="table" w:styleId="107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14</cp:revision>
  <dcterms:created xsi:type="dcterms:W3CDTF">2022-02-08T09:52:00Z</dcterms:created>
  <dcterms:modified xsi:type="dcterms:W3CDTF">2024-04-15T02:35:02Z</dcterms:modified>
  <cp:version>1048576</cp:version>
</cp:coreProperties>
</file>